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мая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Алихановича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5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105 д. 1А по ул. Некрасова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 Сургутского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правоохранительных органов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у которого по результатам проведенного исследования отобранного биологического объекта установлено состояние опьянения, вызванное употреблением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мефедрон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включенного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года N 681</w:t>
      </w:r>
      <w:r>
        <w:rPr>
          <w:rFonts w:ascii="Times New Roman" w:eastAsia="Times New Roman" w:hAnsi="Times New Roman" w:cs="Times New Roman"/>
          <w:sz w:val="28"/>
          <w:szCs w:val="28"/>
        </w:rPr>
        <w:t>, и медицинского препарата «</w:t>
      </w:r>
      <w:r>
        <w:rPr>
          <w:rFonts w:ascii="Times New Roman" w:eastAsia="Times New Roman" w:hAnsi="Times New Roman" w:cs="Times New Roman"/>
          <w:sz w:val="28"/>
          <w:szCs w:val="28"/>
        </w:rPr>
        <w:t>габапентин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января 2024 г.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подъезде дома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лет Победы, д. 46/1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указанное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присутствующий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предыдущем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штрафа, который он обязуется уплатить.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Рублик Р.А. – Галкина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предыдущем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данные административному органу объяснения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Указала, что несовершеннолетний 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её попечении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месту проживания созданы необходимые условия для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назначить Рублик Р.А. наказание в виде штрафа, который они обязуются уплатить.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редставитель отдела по осуществлению деятельности комиссии по делам несовершеннолетних и защите их прав администрации Сургутского района Насретдинова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предыдущем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возложить на Рублик Р.А. обязанность пройти диагностику в связи с потреблением наркотических средств без назначения врача и при необходимости профилактические мероприятия, лечение от наркомании или медицинскую реабилитацию у врача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>, его з</w:t>
      </w:r>
      <w:r>
        <w:rPr>
          <w:rFonts w:ascii="Times New Roman" w:eastAsia="Times New Roman" w:hAnsi="Times New Roman" w:cs="Times New Roman"/>
          <w:sz w:val="28"/>
          <w:szCs w:val="28"/>
        </w:rPr>
        <w:t>аконный представитель Галкина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30 мая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возможным 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статьи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(статья 40 Федерального закона от 8 января 1998 года N 3-ФЗ "О наркотических средствах и психотропных веществах").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шестнадцати лет (ст.2.3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извещается о месте и времени рассмотрения дела об административном правонарушении, совершенном несовершеннолетним (ст.25.11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подтверждаются собранными по делу доказательствами: протоколом об административном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317730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года; рапортами сотрудников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письменными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законного представителя Галкиной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правкой о результатах химико-токсикологических исследований за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06.02.2024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обследования семейно-бытовых условий жизни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паспорта на имя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ведениям</w:t>
      </w:r>
      <w:r>
        <w:rPr>
          <w:rFonts w:ascii="Times New Roman" w:eastAsia="Times New Roman" w:hAnsi="Times New Roman" w:cs="Times New Roman"/>
          <w:sz w:val="28"/>
          <w:szCs w:val="28"/>
        </w:rPr>
        <w:t>и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 о том, что несовершеннолетний 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нуждается в наблюдении и лечен</w:t>
      </w:r>
      <w:r>
        <w:rPr>
          <w:rFonts w:ascii="Times New Roman" w:eastAsia="Times New Roman" w:hAnsi="Times New Roman" w:cs="Times New Roman"/>
          <w:sz w:val="28"/>
          <w:szCs w:val="28"/>
        </w:rPr>
        <w:t>ии у врача психиатра-нарколога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части 1 статьи 6.9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под сомнение изложенные в акте данные и заключение врача оснований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6.9 Кодекса РФ об административных правонарушениях –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</w:t>
      </w:r>
      <w:r>
        <w:rPr>
          <w:rFonts w:ascii="Times New Roman" w:eastAsia="Times New Roman" w:hAnsi="Times New Roman" w:cs="Times New Roman"/>
          <w:sz w:val="28"/>
          <w:szCs w:val="28"/>
        </w:rPr>
        <w:t>атьей 20.22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не 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вступил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Рублик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совершения административного правонарушения,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части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возложением обязанности в течение месяца со дня вступления постановления в законную силу явиться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 для прохождения диагностики у врача-нарколога, по результатам, в случае необходимости, пройти курс лечения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Алихановича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штрафа в размере 4 000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тысячи)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Рублик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Алихановича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вступления постановления мирового судьи в законную силу явиться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628400, ХМАО-Югра, г. Сургут, ул. Профсоюзов, д. 12/3) для прохождения диагностики </w:t>
      </w:r>
      <w:r>
        <w:rPr>
          <w:rFonts w:ascii="Times New Roman" w:eastAsia="Times New Roman" w:hAnsi="Times New Roman" w:cs="Times New Roman"/>
          <w:sz w:val="28"/>
          <w:szCs w:val="28"/>
        </w:rPr>
        <w:t>у врача-нарколога, по результатам, в случае необходимости, пройти курс л</w:t>
      </w:r>
      <w:r>
        <w:rPr>
          <w:rFonts w:ascii="Times New Roman" w:eastAsia="Times New Roman" w:hAnsi="Times New Roman" w:cs="Times New Roman"/>
          <w:sz w:val="28"/>
          <w:szCs w:val="28"/>
        </w:rPr>
        <w:t>ечения от наркомании.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1 апреля 2016 г. N 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 внесении изменений в постановление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врача" копию настоящего постановления направить Главному врачу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больница», а также для контроля исполнения должностному лицу УМВД России по г. Сургуту.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Рублик Р.А.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пройти диагностику и профилактические мероприятия в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 возлагается на УМВД России по г. Сургуту.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</w:t>
      </w:r>
      <w:r>
        <w:rPr>
          <w:rFonts w:ascii="Times New Roman" w:eastAsia="Times New Roman" w:hAnsi="Times New Roman" w:cs="Times New Roman"/>
          <w:sz w:val="28"/>
          <w:szCs w:val="28"/>
        </w:rPr>
        <w:t>063010009140</w:t>
      </w:r>
      <w:r>
        <w:rPr>
          <w:rFonts w:ascii="Times New Roman" w:eastAsia="Times New Roman" w:hAnsi="Times New Roman" w:cs="Times New Roman"/>
          <w:sz w:val="28"/>
          <w:szCs w:val="28"/>
        </w:rPr>
        <w:t>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0412365400135005192406145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(ч. 2 ст. 32.2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51rplc-9">
    <w:name w:val="cat-UserDefined grp-51 rplc-9"/>
    <w:basedOn w:val="DefaultParagraphFont"/>
  </w:style>
  <w:style w:type="character" w:customStyle="1" w:styleId="cat-PassportDatagrp-38rplc-12">
    <w:name w:val="cat-PassportData grp-38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ExternalSystemDefinedgrp-50rplc-15">
    <w:name w:val="cat-ExternalSystemDefined grp-50 rplc-15"/>
    <w:basedOn w:val="DefaultParagraphFont"/>
  </w:style>
  <w:style w:type="character" w:customStyle="1" w:styleId="cat-ExternalSystemDefinedgrp-49rplc-16">
    <w:name w:val="cat-ExternalSystemDefined grp-4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